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910399" w14:textId="6623C95F" w:rsidR="0055370A" w:rsidRPr="00C156C2" w:rsidRDefault="0055370A" w:rsidP="00C156C2">
      <w:pPr>
        <w:keepNext/>
        <w:keepLines/>
        <w:widowControl/>
        <w:autoSpaceDE/>
        <w:autoSpaceDN/>
        <w:spacing w:line="259" w:lineRule="auto"/>
        <w:contextualSpacing/>
        <w:jc w:val="center"/>
        <w:outlineLvl w:val="0"/>
        <w:rPr>
          <w:rFonts w:ascii="Titillium Web" w:eastAsia="MS Gothic" w:hAnsi="Titillium Web" w:cs="Arial"/>
          <w:b/>
          <w:bCs/>
          <w:color w:val="EE0000"/>
          <w:sz w:val="30"/>
          <w:szCs w:val="30"/>
        </w:rPr>
      </w:pPr>
      <w:r w:rsidRPr="00C156C2">
        <w:rPr>
          <w:rFonts w:ascii="Titillium Web" w:eastAsia="MS Gothic" w:hAnsi="Titillium Web" w:cs="Arial"/>
          <w:b/>
          <w:bCs/>
          <w:color w:val="EE0000"/>
          <w:sz w:val="30"/>
          <w:szCs w:val="30"/>
        </w:rPr>
        <w:t>A</w:t>
      </w:r>
      <w:r w:rsidR="00CC0DFD" w:rsidRPr="00C156C2">
        <w:rPr>
          <w:rFonts w:ascii="Titillium Web" w:eastAsia="MS Gothic" w:hAnsi="Titillium Web" w:cs="Arial"/>
          <w:b/>
          <w:bCs/>
          <w:color w:val="EE0000"/>
          <w:sz w:val="30"/>
          <w:szCs w:val="30"/>
        </w:rPr>
        <w:t>nexo</w:t>
      </w:r>
      <w:r w:rsidRPr="00C156C2">
        <w:rPr>
          <w:rFonts w:ascii="Titillium Web" w:eastAsia="MS Gothic" w:hAnsi="Titillium Web" w:cs="Arial"/>
          <w:b/>
          <w:bCs/>
          <w:color w:val="EE0000"/>
          <w:sz w:val="30"/>
          <w:szCs w:val="30"/>
        </w:rPr>
        <w:t xml:space="preserve"> 4  </w:t>
      </w:r>
    </w:p>
    <w:p w14:paraId="276D7CDA" w14:textId="0EABC225" w:rsidR="0055370A" w:rsidRPr="00C156C2" w:rsidRDefault="0055370A" w:rsidP="00C156C2">
      <w:pPr>
        <w:keepNext/>
        <w:keepLines/>
        <w:widowControl/>
        <w:autoSpaceDE/>
        <w:autoSpaceDN/>
        <w:spacing w:line="259" w:lineRule="auto"/>
        <w:contextualSpacing/>
        <w:jc w:val="center"/>
        <w:outlineLvl w:val="0"/>
        <w:rPr>
          <w:rFonts w:ascii="Titillium Web" w:eastAsia="MS Gothic" w:hAnsi="Titillium Web" w:cs="Arial"/>
          <w:b/>
          <w:bCs/>
          <w:color w:val="EE0000"/>
          <w:sz w:val="30"/>
          <w:szCs w:val="30"/>
        </w:rPr>
      </w:pPr>
      <w:r w:rsidRPr="00C156C2">
        <w:rPr>
          <w:rFonts w:ascii="Titillium Web" w:eastAsia="MS Gothic" w:hAnsi="Titillium Web" w:cs="Arial"/>
          <w:b/>
          <w:bCs/>
          <w:color w:val="EE0000"/>
          <w:sz w:val="30"/>
          <w:szCs w:val="30"/>
        </w:rPr>
        <w:t xml:space="preserve">Plan de </w:t>
      </w:r>
      <w:r w:rsidR="00CC0DFD" w:rsidRPr="00C156C2">
        <w:rPr>
          <w:rFonts w:ascii="Titillium Web" w:eastAsia="MS Gothic" w:hAnsi="Titillium Web" w:cs="Arial"/>
          <w:b/>
          <w:bCs/>
          <w:color w:val="EE0000"/>
          <w:sz w:val="30"/>
          <w:szCs w:val="30"/>
        </w:rPr>
        <w:t>e</w:t>
      </w:r>
      <w:r w:rsidRPr="00C156C2">
        <w:rPr>
          <w:rFonts w:ascii="Titillium Web" w:eastAsia="MS Gothic" w:hAnsi="Titillium Web" w:cs="Arial"/>
          <w:b/>
          <w:bCs/>
          <w:color w:val="EE0000"/>
          <w:sz w:val="30"/>
          <w:szCs w:val="30"/>
        </w:rPr>
        <w:t>mprendimiento</w:t>
      </w:r>
    </w:p>
    <w:p w14:paraId="4AB43F61" w14:textId="3A94F8F4" w:rsidR="0055370A" w:rsidRPr="00C156C2" w:rsidRDefault="0055370A" w:rsidP="00C156C2">
      <w:pPr>
        <w:keepNext/>
        <w:keepLines/>
        <w:widowControl/>
        <w:autoSpaceDE/>
        <w:autoSpaceDN/>
        <w:spacing w:line="259" w:lineRule="auto"/>
        <w:contextualSpacing/>
        <w:outlineLvl w:val="0"/>
        <w:rPr>
          <w:rFonts w:ascii="Titillium Web" w:eastAsia="MS Gothic" w:hAnsi="Titillium Web" w:cs="Arial"/>
          <w:b/>
          <w:bCs/>
        </w:rPr>
      </w:pPr>
      <w:r w:rsidRPr="00C156C2">
        <w:rPr>
          <w:rFonts w:ascii="Titillium Web" w:eastAsia="MS Gothic" w:hAnsi="Titillium Web" w:cs="Arial"/>
          <w:b/>
          <w:bCs/>
        </w:rPr>
        <w:t xml:space="preserve">1. Resumen </w:t>
      </w:r>
      <w:r w:rsidR="00CC0DFD" w:rsidRPr="00C156C2">
        <w:rPr>
          <w:rFonts w:ascii="Titillium Web" w:eastAsia="MS Gothic" w:hAnsi="Titillium Web" w:cs="Arial"/>
          <w:b/>
          <w:bCs/>
        </w:rPr>
        <w:t>e</w:t>
      </w:r>
      <w:r w:rsidRPr="00C156C2">
        <w:rPr>
          <w:rFonts w:ascii="Titillium Web" w:eastAsia="MS Gothic" w:hAnsi="Titillium Web" w:cs="Arial"/>
          <w:b/>
          <w:bCs/>
        </w:rPr>
        <w:t>jecutivo</w:t>
      </w:r>
    </w:p>
    <w:p w14:paraId="7FF04699" w14:textId="150D7E3B" w:rsidR="0055370A" w:rsidRPr="00C156C2" w:rsidRDefault="0055370A" w:rsidP="00C156C2">
      <w:pPr>
        <w:pStyle w:val="Prrafodelista"/>
        <w:widowControl/>
        <w:numPr>
          <w:ilvl w:val="0"/>
          <w:numId w:val="6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C156C2">
        <w:rPr>
          <w:rFonts w:ascii="Titillium Web" w:eastAsia="MS Mincho" w:hAnsi="Titillium Web" w:cs="Arial"/>
        </w:rPr>
        <w:t>Nombre del emprendimiento</w:t>
      </w:r>
    </w:p>
    <w:p w14:paraId="3FD15E08" w14:textId="66E25CC2" w:rsidR="0055370A" w:rsidRPr="00C156C2" w:rsidRDefault="0055370A" w:rsidP="00C156C2">
      <w:pPr>
        <w:pStyle w:val="Prrafodelista"/>
        <w:widowControl/>
        <w:numPr>
          <w:ilvl w:val="0"/>
          <w:numId w:val="6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C156C2">
        <w:rPr>
          <w:rFonts w:ascii="Titillium Web" w:eastAsia="MS Mincho" w:hAnsi="Titillium Web" w:cs="Arial"/>
        </w:rPr>
        <w:t>Nombre de la empresa</w:t>
      </w:r>
    </w:p>
    <w:p w14:paraId="5E113BE3" w14:textId="20A7F803" w:rsidR="0055370A" w:rsidRPr="00C156C2" w:rsidRDefault="0055370A" w:rsidP="00C156C2">
      <w:pPr>
        <w:pStyle w:val="Prrafodelista"/>
        <w:widowControl/>
        <w:numPr>
          <w:ilvl w:val="0"/>
          <w:numId w:val="6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C156C2">
        <w:rPr>
          <w:rFonts w:ascii="Titillium Web" w:eastAsia="MS Mincho" w:hAnsi="Titillium Web" w:cs="Arial"/>
        </w:rPr>
        <w:t>Breve descripción del proyecto (qué es, a quién sirve)</w:t>
      </w:r>
    </w:p>
    <w:p w14:paraId="56334B48" w14:textId="0F2BDC1D" w:rsidR="0055370A" w:rsidRPr="00C156C2" w:rsidRDefault="0055370A" w:rsidP="00C156C2">
      <w:pPr>
        <w:pStyle w:val="Prrafodelista"/>
        <w:widowControl/>
        <w:numPr>
          <w:ilvl w:val="0"/>
          <w:numId w:val="6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C156C2">
        <w:rPr>
          <w:rFonts w:ascii="Titillium Web" w:eastAsia="MS Mincho" w:hAnsi="Titillium Web" w:cs="Arial"/>
        </w:rPr>
        <w:t>Problema que resuelve</w:t>
      </w:r>
    </w:p>
    <w:p w14:paraId="08DBDE81" w14:textId="3D2352CA" w:rsidR="0055370A" w:rsidRPr="00C156C2" w:rsidRDefault="0055370A" w:rsidP="00C156C2">
      <w:pPr>
        <w:pStyle w:val="Prrafodelista"/>
        <w:widowControl/>
        <w:numPr>
          <w:ilvl w:val="0"/>
          <w:numId w:val="6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C156C2">
        <w:rPr>
          <w:rFonts w:ascii="Titillium Web" w:eastAsia="MS Mincho" w:hAnsi="Titillium Web" w:cs="Arial"/>
        </w:rPr>
        <w:t>Propuesta de valor (qué lo hace único)</w:t>
      </w:r>
    </w:p>
    <w:p w14:paraId="3469CDF2" w14:textId="7D53DF42" w:rsidR="00CC0DFD" w:rsidRPr="00C156C2" w:rsidRDefault="0055370A" w:rsidP="00C156C2">
      <w:pPr>
        <w:pStyle w:val="Prrafodelista"/>
        <w:widowControl/>
        <w:numPr>
          <w:ilvl w:val="0"/>
          <w:numId w:val="6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C156C2">
        <w:rPr>
          <w:rFonts w:ascii="Titillium Web" w:eastAsia="MS Mincho" w:hAnsi="Titillium Web" w:cs="Arial"/>
        </w:rPr>
        <w:t>Estado actual del proyecto (idea, prototipo, primeras ventas, en operación)</w:t>
      </w:r>
    </w:p>
    <w:p w14:paraId="1FD038A7" w14:textId="06A99FF2" w:rsidR="0055370A" w:rsidRPr="00C156C2" w:rsidRDefault="0055370A" w:rsidP="00C156C2">
      <w:pPr>
        <w:keepNext/>
        <w:keepLines/>
        <w:widowControl/>
        <w:autoSpaceDE/>
        <w:autoSpaceDN/>
        <w:spacing w:line="259" w:lineRule="auto"/>
        <w:contextualSpacing/>
        <w:outlineLvl w:val="0"/>
        <w:rPr>
          <w:rFonts w:ascii="Titillium Web" w:eastAsia="MS Gothic" w:hAnsi="Titillium Web" w:cs="Arial"/>
          <w:b/>
          <w:bCs/>
        </w:rPr>
      </w:pPr>
      <w:r w:rsidRPr="00C156C2">
        <w:rPr>
          <w:rFonts w:ascii="Titillium Web" w:eastAsia="MS Gothic" w:hAnsi="Titillium Web" w:cs="Arial"/>
          <w:b/>
          <w:bCs/>
        </w:rPr>
        <w:t xml:space="preserve">2. Descripción del </w:t>
      </w:r>
      <w:r w:rsidR="00CC0DFD" w:rsidRPr="00C156C2">
        <w:rPr>
          <w:rFonts w:ascii="Titillium Web" w:eastAsia="MS Gothic" w:hAnsi="Titillium Web" w:cs="Arial"/>
          <w:b/>
          <w:bCs/>
        </w:rPr>
        <w:t>e</w:t>
      </w:r>
      <w:r w:rsidRPr="00C156C2">
        <w:rPr>
          <w:rFonts w:ascii="Titillium Web" w:eastAsia="MS Gothic" w:hAnsi="Titillium Web" w:cs="Arial"/>
          <w:b/>
          <w:bCs/>
        </w:rPr>
        <w:t>mprendimiento</w:t>
      </w:r>
    </w:p>
    <w:p w14:paraId="121A167E" w14:textId="59D1A3BF" w:rsidR="0055370A" w:rsidRPr="00C156C2" w:rsidRDefault="0055370A" w:rsidP="00C156C2">
      <w:pPr>
        <w:pStyle w:val="Prrafodelista"/>
        <w:widowControl/>
        <w:numPr>
          <w:ilvl w:val="0"/>
          <w:numId w:val="7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C156C2">
        <w:rPr>
          <w:rFonts w:ascii="Titillium Web" w:eastAsia="MS Mincho" w:hAnsi="Titillium Web" w:cs="Arial"/>
        </w:rPr>
        <w:t>Misión y visión</w:t>
      </w:r>
    </w:p>
    <w:p w14:paraId="0DDD9F9E" w14:textId="443FACB6" w:rsidR="0055370A" w:rsidRPr="00C156C2" w:rsidRDefault="0055370A" w:rsidP="00C156C2">
      <w:pPr>
        <w:pStyle w:val="Prrafodelista"/>
        <w:widowControl/>
        <w:numPr>
          <w:ilvl w:val="0"/>
          <w:numId w:val="7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C156C2">
        <w:rPr>
          <w:rFonts w:ascii="Titillium Web" w:eastAsia="MS Mincho" w:hAnsi="Titillium Web" w:cs="Arial"/>
        </w:rPr>
        <w:t>Productos o servicios ofrecidos</w:t>
      </w:r>
    </w:p>
    <w:p w14:paraId="0A411A96" w14:textId="5FC2839B" w:rsidR="0055370A" w:rsidRPr="00C156C2" w:rsidRDefault="0055370A" w:rsidP="00C156C2">
      <w:pPr>
        <w:pStyle w:val="Prrafodelista"/>
        <w:widowControl/>
        <w:numPr>
          <w:ilvl w:val="0"/>
          <w:numId w:val="7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C156C2">
        <w:rPr>
          <w:rFonts w:ascii="Titillium Web" w:eastAsia="MS Mincho" w:hAnsi="Titillium Web" w:cs="Arial"/>
        </w:rPr>
        <w:t>Industria o segmento</w:t>
      </w:r>
    </w:p>
    <w:p w14:paraId="7EA5AA14" w14:textId="4F621AF8" w:rsidR="0055370A" w:rsidRPr="00C156C2" w:rsidRDefault="0055370A" w:rsidP="00C156C2">
      <w:pPr>
        <w:pStyle w:val="Prrafodelista"/>
        <w:widowControl/>
        <w:numPr>
          <w:ilvl w:val="0"/>
          <w:numId w:val="7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C156C2">
        <w:rPr>
          <w:rFonts w:ascii="Titillium Web" w:eastAsia="MS Mincho" w:hAnsi="Titillium Web" w:cs="Arial"/>
        </w:rPr>
        <w:t>Descripción del proyecto (</w:t>
      </w:r>
      <w:r w:rsidR="00CC0DFD" w:rsidRPr="00C156C2">
        <w:rPr>
          <w:rFonts w:ascii="Titillium Web" w:eastAsia="MS Mincho" w:hAnsi="Titillium Web" w:cs="Arial"/>
        </w:rPr>
        <w:t>¿</w:t>
      </w:r>
      <w:r w:rsidRPr="00C156C2">
        <w:rPr>
          <w:rFonts w:ascii="Titillium Web" w:eastAsia="MS Mincho" w:hAnsi="Titillium Web" w:cs="Arial"/>
        </w:rPr>
        <w:t>qué es</w:t>
      </w:r>
      <w:r w:rsidR="00CC0DFD" w:rsidRPr="00C156C2">
        <w:rPr>
          <w:rFonts w:ascii="Titillium Web" w:eastAsia="MS Mincho" w:hAnsi="Titillium Web" w:cs="Arial"/>
        </w:rPr>
        <w:t>?, ¿</w:t>
      </w:r>
      <w:r w:rsidRPr="00C156C2">
        <w:rPr>
          <w:rFonts w:ascii="Titillium Web" w:eastAsia="MS Mincho" w:hAnsi="Titillium Web" w:cs="Arial"/>
        </w:rPr>
        <w:t>a quién sirve</w:t>
      </w:r>
      <w:r w:rsidR="00CC0DFD" w:rsidRPr="00C156C2">
        <w:rPr>
          <w:rFonts w:ascii="Titillium Web" w:eastAsia="MS Mincho" w:hAnsi="Titillium Web" w:cs="Arial"/>
        </w:rPr>
        <w:t>?</w:t>
      </w:r>
      <w:r w:rsidRPr="00C156C2">
        <w:rPr>
          <w:rFonts w:ascii="Titillium Web" w:eastAsia="MS Mincho" w:hAnsi="Titillium Web" w:cs="Arial"/>
        </w:rPr>
        <w:t xml:space="preserve">, </w:t>
      </w:r>
      <w:r w:rsidR="00CC0DFD" w:rsidRPr="00C156C2">
        <w:rPr>
          <w:rFonts w:ascii="Titillium Web" w:eastAsia="MS Mincho" w:hAnsi="Titillium Web" w:cs="Arial"/>
        </w:rPr>
        <w:t>¿</w:t>
      </w:r>
      <w:r w:rsidRPr="00C156C2">
        <w:rPr>
          <w:rFonts w:ascii="Titillium Web" w:eastAsia="MS Mincho" w:hAnsi="Titillium Web" w:cs="Arial"/>
        </w:rPr>
        <w:t>por qué es innovador</w:t>
      </w:r>
      <w:r w:rsidR="00CC0DFD" w:rsidRPr="00C156C2">
        <w:rPr>
          <w:rFonts w:ascii="Titillium Web" w:eastAsia="MS Mincho" w:hAnsi="Titillium Web" w:cs="Arial"/>
        </w:rPr>
        <w:t>?</w:t>
      </w:r>
      <w:r w:rsidRPr="00C156C2">
        <w:rPr>
          <w:rFonts w:ascii="Titillium Web" w:eastAsia="MS Mincho" w:hAnsi="Titillium Web" w:cs="Arial"/>
        </w:rPr>
        <w:t>)</w:t>
      </w:r>
    </w:p>
    <w:p w14:paraId="01FA9EE3" w14:textId="36EA040A" w:rsidR="0055370A" w:rsidRPr="00C156C2" w:rsidRDefault="0055370A" w:rsidP="00C156C2">
      <w:pPr>
        <w:pStyle w:val="Prrafodelista"/>
        <w:widowControl/>
        <w:numPr>
          <w:ilvl w:val="0"/>
          <w:numId w:val="7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C156C2">
        <w:rPr>
          <w:rFonts w:ascii="Titillium Web" w:eastAsia="MS Mincho" w:hAnsi="Titillium Web" w:cs="Arial"/>
        </w:rPr>
        <w:t xml:space="preserve">Objetivos principales </w:t>
      </w:r>
      <w:r w:rsidR="007B5E26">
        <w:rPr>
          <w:rFonts w:ascii="Titillium Web" w:eastAsia="MS Mincho" w:hAnsi="Titillium Web" w:cs="Arial"/>
        </w:rPr>
        <w:t xml:space="preserve">a </w:t>
      </w:r>
      <w:r w:rsidRPr="00C156C2">
        <w:rPr>
          <w:rFonts w:ascii="Titillium Web" w:eastAsia="MS Mincho" w:hAnsi="Titillium Web" w:cs="Arial"/>
        </w:rPr>
        <w:t>corto y mediano plazo</w:t>
      </w:r>
    </w:p>
    <w:p w14:paraId="662315E8" w14:textId="13841B47" w:rsidR="0055370A" w:rsidRPr="00C156C2" w:rsidRDefault="0055370A" w:rsidP="00C156C2">
      <w:pPr>
        <w:keepNext/>
        <w:keepLines/>
        <w:widowControl/>
        <w:autoSpaceDE/>
        <w:autoSpaceDN/>
        <w:spacing w:line="259" w:lineRule="auto"/>
        <w:contextualSpacing/>
        <w:outlineLvl w:val="0"/>
        <w:rPr>
          <w:rFonts w:ascii="Titillium Web" w:eastAsia="MS Gothic" w:hAnsi="Titillium Web" w:cs="Arial"/>
          <w:b/>
          <w:bCs/>
        </w:rPr>
      </w:pPr>
      <w:r w:rsidRPr="00C156C2">
        <w:rPr>
          <w:rFonts w:ascii="Titillium Web" w:eastAsia="MS Gothic" w:hAnsi="Titillium Web" w:cs="Arial"/>
          <w:b/>
          <w:bCs/>
        </w:rPr>
        <w:t xml:space="preserve">3. Propuesta de </w:t>
      </w:r>
      <w:r w:rsidR="00CC0DFD" w:rsidRPr="00C156C2">
        <w:rPr>
          <w:rFonts w:ascii="Titillium Web" w:eastAsia="MS Gothic" w:hAnsi="Titillium Web" w:cs="Arial"/>
          <w:b/>
          <w:bCs/>
        </w:rPr>
        <w:t>v</w:t>
      </w:r>
      <w:r w:rsidRPr="00C156C2">
        <w:rPr>
          <w:rFonts w:ascii="Titillium Web" w:eastAsia="MS Gothic" w:hAnsi="Titillium Web" w:cs="Arial"/>
          <w:b/>
          <w:bCs/>
        </w:rPr>
        <w:t>alor</w:t>
      </w:r>
    </w:p>
    <w:p w14:paraId="6B0C46B0" w14:textId="6C79C754" w:rsidR="0055370A" w:rsidRPr="00C156C2" w:rsidRDefault="00CC0DFD" w:rsidP="00C156C2">
      <w:pPr>
        <w:pStyle w:val="Prrafodelista"/>
        <w:widowControl/>
        <w:numPr>
          <w:ilvl w:val="0"/>
          <w:numId w:val="8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C156C2">
        <w:rPr>
          <w:rFonts w:ascii="Titillium Web" w:eastAsia="MS Mincho" w:hAnsi="Titillium Web" w:cs="Arial"/>
        </w:rPr>
        <w:t>¿</w:t>
      </w:r>
      <w:r w:rsidR="0055370A" w:rsidRPr="00C156C2">
        <w:rPr>
          <w:rFonts w:ascii="Titillium Web" w:eastAsia="MS Mincho" w:hAnsi="Titillium Web" w:cs="Arial"/>
        </w:rPr>
        <w:t>Qué diferencia al producto o servicio</w:t>
      </w:r>
      <w:r w:rsidRPr="00C156C2">
        <w:rPr>
          <w:rFonts w:ascii="Titillium Web" w:eastAsia="MS Mincho" w:hAnsi="Titillium Web" w:cs="Arial"/>
        </w:rPr>
        <w:t>?</w:t>
      </w:r>
    </w:p>
    <w:p w14:paraId="5100ACDF" w14:textId="0CF1E5DF" w:rsidR="0055370A" w:rsidRPr="00C156C2" w:rsidRDefault="0055370A" w:rsidP="00C156C2">
      <w:pPr>
        <w:pStyle w:val="Prrafodelista"/>
        <w:widowControl/>
        <w:numPr>
          <w:ilvl w:val="0"/>
          <w:numId w:val="8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C156C2">
        <w:rPr>
          <w:rFonts w:ascii="Titillium Web" w:eastAsia="MS Mincho" w:hAnsi="Titillium Web" w:cs="Arial"/>
        </w:rPr>
        <w:t>Beneficios clave para el cliente</w:t>
      </w:r>
    </w:p>
    <w:p w14:paraId="21F4C63F" w14:textId="370C4479" w:rsidR="0055370A" w:rsidRPr="00C156C2" w:rsidRDefault="0055370A" w:rsidP="00C156C2">
      <w:pPr>
        <w:pStyle w:val="Prrafodelista"/>
        <w:widowControl/>
        <w:numPr>
          <w:ilvl w:val="0"/>
          <w:numId w:val="8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C156C2">
        <w:rPr>
          <w:rFonts w:ascii="Titillium Web" w:eastAsia="MS Mincho" w:hAnsi="Titillium Web" w:cs="Arial"/>
        </w:rPr>
        <w:t>Impacto social, ambiental o comunitario del emprendimiento</w:t>
      </w:r>
    </w:p>
    <w:p w14:paraId="6BEBC043" w14:textId="0299EBCD" w:rsidR="0055370A" w:rsidRPr="00C156C2" w:rsidRDefault="0055370A" w:rsidP="00C156C2">
      <w:pPr>
        <w:pStyle w:val="Prrafodelista"/>
        <w:widowControl/>
        <w:numPr>
          <w:ilvl w:val="0"/>
          <w:numId w:val="8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C156C2">
        <w:rPr>
          <w:rFonts w:ascii="Titillium Web" w:eastAsia="MS Mincho" w:hAnsi="Titillium Web" w:cs="Arial"/>
        </w:rPr>
        <w:t>Estrategias de sostenibilidad</w:t>
      </w:r>
    </w:p>
    <w:p w14:paraId="59D4B22A" w14:textId="4B5FEBAD" w:rsidR="0055370A" w:rsidRPr="00C156C2" w:rsidRDefault="0055370A" w:rsidP="00C156C2">
      <w:pPr>
        <w:keepNext/>
        <w:keepLines/>
        <w:widowControl/>
        <w:autoSpaceDE/>
        <w:autoSpaceDN/>
        <w:spacing w:line="259" w:lineRule="auto"/>
        <w:contextualSpacing/>
        <w:outlineLvl w:val="0"/>
        <w:rPr>
          <w:rFonts w:ascii="Titillium Web" w:eastAsia="MS Gothic" w:hAnsi="Titillium Web" w:cs="Arial"/>
          <w:b/>
          <w:bCs/>
        </w:rPr>
      </w:pPr>
      <w:r w:rsidRPr="00C156C2">
        <w:rPr>
          <w:rFonts w:ascii="Titillium Web" w:eastAsia="MS Gothic" w:hAnsi="Titillium Web" w:cs="Arial"/>
          <w:b/>
          <w:bCs/>
        </w:rPr>
        <w:t xml:space="preserve">4. Análisis de </w:t>
      </w:r>
      <w:r w:rsidR="00CC0DFD" w:rsidRPr="00C156C2">
        <w:rPr>
          <w:rFonts w:ascii="Titillium Web" w:eastAsia="MS Gothic" w:hAnsi="Titillium Web" w:cs="Arial"/>
          <w:b/>
          <w:bCs/>
        </w:rPr>
        <w:t>m</w:t>
      </w:r>
      <w:r w:rsidRPr="00C156C2">
        <w:rPr>
          <w:rFonts w:ascii="Titillium Web" w:eastAsia="MS Gothic" w:hAnsi="Titillium Web" w:cs="Arial"/>
          <w:b/>
          <w:bCs/>
        </w:rPr>
        <w:t>ercado</w:t>
      </w:r>
    </w:p>
    <w:p w14:paraId="4FC3DE75" w14:textId="4E3BBC28" w:rsidR="0055370A" w:rsidRPr="00C156C2" w:rsidRDefault="0055370A" w:rsidP="00C156C2">
      <w:pPr>
        <w:pStyle w:val="Prrafodelista"/>
        <w:widowControl/>
        <w:numPr>
          <w:ilvl w:val="0"/>
          <w:numId w:val="9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C156C2">
        <w:rPr>
          <w:rFonts w:ascii="Titillium Web" w:eastAsia="MS Mincho" w:hAnsi="Titillium Web" w:cs="Arial"/>
        </w:rPr>
        <w:t>Perfil de cliente ideal (cliente y segmento al que va dirigido)</w:t>
      </w:r>
    </w:p>
    <w:p w14:paraId="283A093E" w14:textId="64AE2112" w:rsidR="0055370A" w:rsidRPr="00C156C2" w:rsidRDefault="0055370A" w:rsidP="00C156C2">
      <w:pPr>
        <w:pStyle w:val="Prrafodelista"/>
        <w:widowControl/>
        <w:numPr>
          <w:ilvl w:val="0"/>
          <w:numId w:val="9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C156C2">
        <w:rPr>
          <w:rFonts w:ascii="Titillium Web" w:eastAsia="MS Mincho" w:hAnsi="Titillium Web" w:cs="Arial"/>
        </w:rPr>
        <w:t>Tamaño de mercado</w:t>
      </w:r>
    </w:p>
    <w:p w14:paraId="55816816" w14:textId="0737A7E1" w:rsidR="0055370A" w:rsidRPr="00C156C2" w:rsidRDefault="0055370A" w:rsidP="00C156C2">
      <w:pPr>
        <w:pStyle w:val="Prrafodelista"/>
        <w:widowControl/>
        <w:numPr>
          <w:ilvl w:val="0"/>
          <w:numId w:val="9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C156C2">
        <w:rPr>
          <w:rFonts w:ascii="Titillium Web" w:eastAsia="MS Mincho" w:hAnsi="Titillium Web" w:cs="Arial"/>
        </w:rPr>
        <w:t>Tendencias relevantes del sector</w:t>
      </w:r>
    </w:p>
    <w:p w14:paraId="608308A7" w14:textId="7D300B45" w:rsidR="0055370A" w:rsidRPr="00C156C2" w:rsidRDefault="0055370A" w:rsidP="00C156C2">
      <w:pPr>
        <w:pStyle w:val="Prrafodelista"/>
        <w:widowControl/>
        <w:numPr>
          <w:ilvl w:val="0"/>
          <w:numId w:val="9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C156C2">
        <w:rPr>
          <w:rFonts w:ascii="Titillium Web" w:eastAsia="MS Mincho" w:hAnsi="Titillium Web" w:cs="Arial"/>
        </w:rPr>
        <w:t>Principales competidores</w:t>
      </w:r>
    </w:p>
    <w:p w14:paraId="1DEFE7C1" w14:textId="77777777" w:rsidR="0055370A" w:rsidRPr="00C156C2" w:rsidRDefault="0055370A" w:rsidP="00C156C2">
      <w:pPr>
        <w:pStyle w:val="Prrafodelista"/>
        <w:widowControl/>
        <w:numPr>
          <w:ilvl w:val="0"/>
          <w:numId w:val="9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C156C2">
        <w:rPr>
          <w:rFonts w:ascii="Titillium Web" w:eastAsia="MS Mincho" w:hAnsi="Titillium Web" w:cs="Arial"/>
        </w:rPr>
        <w:t>Estrategia de diferenciación de la competencia</w:t>
      </w:r>
    </w:p>
    <w:p w14:paraId="702BBEB9" w14:textId="76508057" w:rsidR="0055370A" w:rsidRPr="00713519" w:rsidRDefault="0055370A" w:rsidP="00C156C2">
      <w:pPr>
        <w:pStyle w:val="Prrafodelista"/>
        <w:widowControl/>
        <w:numPr>
          <w:ilvl w:val="0"/>
          <w:numId w:val="9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C156C2">
        <w:rPr>
          <w:rFonts w:ascii="Titillium Web" w:eastAsia="MS Mincho" w:hAnsi="Titillium Web" w:cs="Arial"/>
        </w:rPr>
        <w:t>Ventajas competitivas</w:t>
      </w:r>
    </w:p>
    <w:p w14:paraId="21D1715A" w14:textId="10975E46" w:rsidR="0055370A" w:rsidRPr="00C156C2" w:rsidRDefault="0055370A" w:rsidP="00C156C2">
      <w:pPr>
        <w:keepNext/>
        <w:keepLines/>
        <w:widowControl/>
        <w:autoSpaceDE/>
        <w:autoSpaceDN/>
        <w:spacing w:line="259" w:lineRule="auto"/>
        <w:contextualSpacing/>
        <w:outlineLvl w:val="0"/>
        <w:rPr>
          <w:rFonts w:ascii="Titillium Web" w:eastAsia="MS Gothic" w:hAnsi="Titillium Web" w:cs="Arial"/>
          <w:b/>
          <w:bCs/>
        </w:rPr>
      </w:pPr>
      <w:r w:rsidRPr="00C156C2">
        <w:rPr>
          <w:rFonts w:ascii="Titillium Web" w:eastAsia="MS Gothic" w:hAnsi="Titillium Web" w:cs="Arial"/>
          <w:b/>
          <w:bCs/>
        </w:rPr>
        <w:t xml:space="preserve">5. Estrategia </w:t>
      </w:r>
      <w:r w:rsidR="00CC0DFD" w:rsidRPr="00C156C2">
        <w:rPr>
          <w:rFonts w:ascii="Titillium Web" w:eastAsia="MS Gothic" w:hAnsi="Titillium Web" w:cs="Arial"/>
          <w:b/>
          <w:bCs/>
        </w:rPr>
        <w:t>c</w:t>
      </w:r>
      <w:r w:rsidRPr="00C156C2">
        <w:rPr>
          <w:rFonts w:ascii="Titillium Web" w:eastAsia="MS Gothic" w:hAnsi="Titillium Web" w:cs="Arial"/>
          <w:b/>
          <w:bCs/>
        </w:rPr>
        <w:t>omercial</w:t>
      </w:r>
    </w:p>
    <w:p w14:paraId="7AF65AB1" w14:textId="77777777" w:rsidR="0055370A" w:rsidRPr="00C156C2" w:rsidRDefault="0055370A" w:rsidP="00C156C2">
      <w:pPr>
        <w:pStyle w:val="Prrafodelista"/>
        <w:widowControl/>
        <w:numPr>
          <w:ilvl w:val="0"/>
          <w:numId w:val="10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C156C2">
        <w:rPr>
          <w:rFonts w:ascii="Titillium Web" w:eastAsia="MS Mincho" w:hAnsi="Titillium Web" w:cs="Arial"/>
        </w:rPr>
        <w:t>Modelo de ingresos (ventas directas, suscripción, comisión, etc.)</w:t>
      </w:r>
    </w:p>
    <w:p w14:paraId="58021FB3" w14:textId="5940C195" w:rsidR="0055370A" w:rsidRPr="00C156C2" w:rsidRDefault="0055370A" w:rsidP="00C156C2">
      <w:pPr>
        <w:pStyle w:val="Prrafodelista"/>
        <w:widowControl/>
        <w:numPr>
          <w:ilvl w:val="0"/>
          <w:numId w:val="10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C156C2">
        <w:rPr>
          <w:rFonts w:ascii="Titillium Web" w:eastAsia="MS Mincho" w:hAnsi="Titillium Web" w:cs="Arial"/>
        </w:rPr>
        <w:t xml:space="preserve">Canales de venta (físico, </w:t>
      </w:r>
      <w:r w:rsidRPr="005B399F">
        <w:rPr>
          <w:rFonts w:ascii="Titillium Web" w:eastAsia="MS Mincho" w:hAnsi="Titillium Web" w:cs="Arial"/>
          <w:i/>
          <w:iCs/>
        </w:rPr>
        <w:t>online</w:t>
      </w:r>
      <w:r w:rsidRPr="00C156C2">
        <w:rPr>
          <w:rFonts w:ascii="Titillium Web" w:eastAsia="MS Mincho" w:hAnsi="Titillium Web" w:cs="Arial"/>
        </w:rPr>
        <w:t>, distribuidores)</w:t>
      </w:r>
    </w:p>
    <w:p w14:paraId="64870957" w14:textId="244F4D11" w:rsidR="0055370A" w:rsidRPr="00C156C2" w:rsidRDefault="0055370A" w:rsidP="00C156C2">
      <w:pPr>
        <w:pStyle w:val="Prrafodelista"/>
        <w:widowControl/>
        <w:numPr>
          <w:ilvl w:val="0"/>
          <w:numId w:val="10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C156C2">
        <w:rPr>
          <w:rFonts w:ascii="Titillium Web" w:eastAsia="MS Mincho" w:hAnsi="Titillium Web" w:cs="Arial"/>
        </w:rPr>
        <w:t>Estrategia de posicionamiento de marca</w:t>
      </w:r>
    </w:p>
    <w:p w14:paraId="2B7E3D5A" w14:textId="77777777" w:rsidR="0055370A" w:rsidRPr="00C156C2" w:rsidRDefault="0055370A" w:rsidP="00C156C2">
      <w:pPr>
        <w:pStyle w:val="Prrafodelista"/>
        <w:widowControl/>
        <w:numPr>
          <w:ilvl w:val="0"/>
          <w:numId w:val="10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C156C2">
        <w:rPr>
          <w:rFonts w:ascii="Titillium Web" w:eastAsia="MS Mincho" w:hAnsi="Titillium Web" w:cs="Arial"/>
        </w:rPr>
        <w:t>Estrategia de crecimiento en ventas por tipo de clientes, ubicación geográfica, etc.</w:t>
      </w:r>
    </w:p>
    <w:p w14:paraId="25046B02" w14:textId="114C5A26" w:rsidR="0055370A" w:rsidRPr="00C156C2" w:rsidRDefault="0055370A" w:rsidP="00C156C2">
      <w:pPr>
        <w:pStyle w:val="Prrafodelista"/>
        <w:widowControl/>
        <w:numPr>
          <w:ilvl w:val="0"/>
          <w:numId w:val="10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C156C2">
        <w:rPr>
          <w:rFonts w:ascii="Titillium Web" w:eastAsia="MS Mincho" w:hAnsi="Titillium Web" w:cs="Arial"/>
        </w:rPr>
        <w:t xml:space="preserve">Principales acciones de </w:t>
      </w:r>
      <w:r w:rsidRPr="005B399F">
        <w:rPr>
          <w:rFonts w:ascii="Titillium Web" w:eastAsia="MS Mincho" w:hAnsi="Titillium Web" w:cs="Arial"/>
          <w:i/>
          <w:iCs/>
        </w:rPr>
        <w:t>marketing</w:t>
      </w:r>
      <w:r w:rsidRPr="00C156C2">
        <w:rPr>
          <w:rFonts w:ascii="Titillium Web" w:eastAsia="MS Mincho" w:hAnsi="Titillium Web" w:cs="Arial"/>
        </w:rPr>
        <w:t xml:space="preserve"> y promoción</w:t>
      </w:r>
    </w:p>
    <w:p w14:paraId="3589DFE1" w14:textId="392B1688" w:rsidR="0055370A" w:rsidRPr="00C156C2" w:rsidRDefault="0055370A" w:rsidP="005B399F">
      <w:pPr>
        <w:pStyle w:val="Prrafodelista"/>
        <w:widowControl/>
        <w:numPr>
          <w:ilvl w:val="1"/>
          <w:numId w:val="15"/>
        </w:numPr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C156C2">
        <w:rPr>
          <w:rFonts w:ascii="Titillium Web" w:eastAsia="MS Mincho" w:hAnsi="Titillium Web" w:cs="Arial"/>
        </w:rPr>
        <w:lastRenderedPageBreak/>
        <w:t xml:space="preserve">Estrategias digitales (redes sociales, </w:t>
      </w:r>
      <w:r w:rsidRPr="00C156C2">
        <w:rPr>
          <w:rFonts w:ascii="Titillium Web" w:eastAsia="MS Mincho" w:hAnsi="Titillium Web" w:cs="Arial"/>
          <w:i/>
          <w:iCs/>
        </w:rPr>
        <w:t>e-commerce</w:t>
      </w:r>
      <w:r w:rsidRPr="00C156C2">
        <w:rPr>
          <w:rFonts w:ascii="Titillium Web" w:eastAsia="MS Mincho" w:hAnsi="Titillium Web" w:cs="Arial"/>
        </w:rPr>
        <w:t>, SEO, SEM)</w:t>
      </w:r>
    </w:p>
    <w:p w14:paraId="055E7E67" w14:textId="450C381F" w:rsidR="0055370A" w:rsidRPr="00C156C2" w:rsidRDefault="0055370A" w:rsidP="005B399F">
      <w:pPr>
        <w:pStyle w:val="Prrafodelista"/>
        <w:widowControl/>
        <w:numPr>
          <w:ilvl w:val="1"/>
          <w:numId w:val="15"/>
        </w:numPr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C156C2">
        <w:rPr>
          <w:rFonts w:ascii="Titillium Web" w:eastAsia="MS Mincho" w:hAnsi="Titillium Web" w:cs="Arial"/>
        </w:rPr>
        <w:t>Estrategias físicas (eventos, relaciones públicas, activaciones)</w:t>
      </w:r>
    </w:p>
    <w:p w14:paraId="1523E9B9" w14:textId="00D1D981" w:rsidR="0055370A" w:rsidRPr="00C156C2" w:rsidRDefault="0055370A" w:rsidP="00C156C2">
      <w:pPr>
        <w:pStyle w:val="Prrafodelista"/>
        <w:widowControl/>
        <w:numPr>
          <w:ilvl w:val="0"/>
          <w:numId w:val="10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C156C2">
        <w:rPr>
          <w:rFonts w:ascii="Titillium Web" w:eastAsia="MS Mincho" w:hAnsi="Titillium Web" w:cs="Arial"/>
        </w:rPr>
        <w:t>Retención de clientes</w:t>
      </w:r>
    </w:p>
    <w:p w14:paraId="364AD119" w14:textId="1C4A61A5" w:rsidR="0055370A" w:rsidRPr="00713519" w:rsidRDefault="0055370A" w:rsidP="00713519">
      <w:pPr>
        <w:pStyle w:val="Prrafodelista"/>
        <w:widowControl/>
        <w:numPr>
          <w:ilvl w:val="0"/>
          <w:numId w:val="10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C156C2">
        <w:rPr>
          <w:rFonts w:ascii="Titillium Web" w:eastAsia="MS Mincho" w:hAnsi="Titillium Web" w:cs="Arial"/>
        </w:rPr>
        <w:t>Estrategia básica de fijación de precios</w:t>
      </w:r>
    </w:p>
    <w:p w14:paraId="6AD90678" w14:textId="52BCADA0" w:rsidR="0055370A" w:rsidRPr="00C156C2" w:rsidRDefault="0055370A" w:rsidP="00C156C2">
      <w:pPr>
        <w:keepNext/>
        <w:keepLines/>
        <w:widowControl/>
        <w:autoSpaceDE/>
        <w:autoSpaceDN/>
        <w:spacing w:line="259" w:lineRule="auto"/>
        <w:contextualSpacing/>
        <w:outlineLvl w:val="0"/>
        <w:rPr>
          <w:rFonts w:ascii="Titillium Web" w:eastAsia="MS Gothic" w:hAnsi="Titillium Web" w:cs="Arial"/>
          <w:b/>
          <w:bCs/>
        </w:rPr>
      </w:pPr>
      <w:r w:rsidRPr="00C156C2">
        <w:rPr>
          <w:rFonts w:ascii="Titillium Web" w:eastAsia="MS Gothic" w:hAnsi="Titillium Web" w:cs="Arial"/>
          <w:b/>
          <w:bCs/>
        </w:rPr>
        <w:t xml:space="preserve">6. Operación y </w:t>
      </w:r>
      <w:r w:rsidR="00713519">
        <w:rPr>
          <w:rFonts w:ascii="Titillium Web" w:eastAsia="MS Gothic" w:hAnsi="Titillium Web" w:cs="Arial"/>
          <w:b/>
          <w:bCs/>
        </w:rPr>
        <w:t>e</w:t>
      </w:r>
      <w:r w:rsidRPr="00C156C2">
        <w:rPr>
          <w:rFonts w:ascii="Titillium Web" w:eastAsia="MS Gothic" w:hAnsi="Titillium Web" w:cs="Arial"/>
          <w:b/>
          <w:bCs/>
        </w:rPr>
        <w:t>quipo</w:t>
      </w:r>
    </w:p>
    <w:p w14:paraId="22DA224E" w14:textId="5473B5C9" w:rsidR="0055370A" w:rsidRPr="00C156C2" w:rsidRDefault="0055370A" w:rsidP="00C156C2">
      <w:pPr>
        <w:pStyle w:val="Prrafodelista"/>
        <w:widowControl/>
        <w:numPr>
          <w:ilvl w:val="0"/>
          <w:numId w:val="12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C156C2">
        <w:rPr>
          <w:rFonts w:ascii="Titillium Web" w:eastAsia="MS Mincho" w:hAnsi="Titillium Web" w:cs="Arial"/>
        </w:rPr>
        <w:t>Ubicación o forma de operar</w:t>
      </w:r>
    </w:p>
    <w:p w14:paraId="2562D5CA" w14:textId="7611CE29" w:rsidR="0055370A" w:rsidRPr="00C156C2" w:rsidRDefault="0055370A" w:rsidP="00C156C2">
      <w:pPr>
        <w:pStyle w:val="Prrafodelista"/>
        <w:widowControl/>
        <w:numPr>
          <w:ilvl w:val="0"/>
          <w:numId w:val="12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C156C2">
        <w:rPr>
          <w:rFonts w:ascii="Titillium Web" w:eastAsia="MS Mincho" w:hAnsi="Titillium Web" w:cs="Arial"/>
        </w:rPr>
        <w:t>Proceso productivo o de prestación de servicios</w:t>
      </w:r>
    </w:p>
    <w:p w14:paraId="5BB07CD9" w14:textId="241EFB8C" w:rsidR="0055370A" w:rsidRPr="00C156C2" w:rsidRDefault="0055370A" w:rsidP="00C156C2">
      <w:pPr>
        <w:pStyle w:val="Prrafodelista"/>
        <w:widowControl/>
        <w:numPr>
          <w:ilvl w:val="0"/>
          <w:numId w:val="12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C156C2">
        <w:rPr>
          <w:rFonts w:ascii="Titillium Web" w:eastAsia="MS Mincho" w:hAnsi="Titillium Web" w:cs="Arial"/>
        </w:rPr>
        <w:t>Logística</w:t>
      </w:r>
    </w:p>
    <w:p w14:paraId="1CB28233" w14:textId="53A4FF0D" w:rsidR="0055370A" w:rsidRPr="00C156C2" w:rsidRDefault="0055370A" w:rsidP="00C156C2">
      <w:pPr>
        <w:pStyle w:val="Prrafodelista"/>
        <w:widowControl/>
        <w:numPr>
          <w:ilvl w:val="0"/>
          <w:numId w:val="12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C156C2">
        <w:rPr>
          <w:rFonts w:ascii="Titillium Web" w:eastAsia="MS Mincho" w:hAnsi="Titillium Web" w:cs="Arial"/>
        </w:rPr>
        <w:t>Recursos básicos necesarios (infraestructura, tecnología, proveedores)</w:t>
      </w:r>
    </w:p>
    <w:p w14:paraId="0739B18D" w14:textId="7BD983B7" w:rsidR="0055370A" w:rsidRPr="00C156C2" w:rsidRDefault="0055370A" w:rsidP="00C156C2">
      <w:pPr>
        <w:pStyle w:val="Prrafodelista"/>
        <w:widowControl/>
        <w:numPr>
          <w:ilvl w:val="0"/>
          <w:numId w:val="12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C156C2">
        <w:rPr>
          <w:rFonts w:ascii="Titillium Web" w:eastAsia="MS Mincho" w:hAnsi="Titillium Web" w:cs="Arial"/>
        </w:rPr>
        <w:t>Equipo humano y funciones principales</w:t>
      </w:r>
    </w:p>
    <w:p w14:paraId="4B5D2B97" w14:textId="629EF632" w:rsidR="0055370A" w:rsidRPr="00C156C2" w:rsidRDefault="0055370A" w:rsidP="00C156C2">
      <w:pPr>
        <w:pStyle w:val="Prrafodelista"/>
        <w:widowControl/>
        <w:numPr>
          <w:ilvl w:val="0"/>
          <w:numId w:val="12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C156C2">
        <w:rPr>
          <w:rFonts w:ascii="Titillium Web" w:eastAsia="MS Mincho" w:hAnsi="Titillium Web" w:cs="Arial"/>
        </w:rPr>
        <w:t>Acciones enfocadas al beneficio y lealtad del personal</w:t>
      </w:r>
    </w:p>
    <w:p w14:paraId="505E10A1" w14:textId="0757B99A" w:rsidR="0055370A" w:rsidRPr="00C156C2" w:rsidRDefault="0055370A" w:rsidP="00C156C2">
      <w:pPr>
        <w:pStyle w:val="Prrafodelista"/>
        <w:widowControl/>
        <w:numPr>
          <w:ilvl w:val="0"/>
          <w:numId w:val="12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C156C2">
        <w:rPr>
          <w:rFonts w:ascii="Titillium Web" w:eastAsia="MS Mincho" w:hAnsi="Titillium Web" w:cs="Arial"/>
        </w:rPr>
        <w:t>Aspectos legales y regulatorios</w:t>
      </w:r>
    </w:p>
    <w:p w14:paraId="1C12BB71" w14:textId="444FF865" w:rsidR="0055370A" w:rsidRPr="00713519" w:rsidRDefault="0055370A" w:rsidP="00C156C2">
      <w:pPr>
        <w:pStyle w:val="Prrafodelista"/>
        <w:widowControl/>
        <w:numPr>
          <w:ilvl w:val="0"/>
          <w:numId w:val="12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C156C2">
        <w:rPr>
          <w:rFonts w:ascii="Titillium Web" w:eastAsia="MS Mincho" w:hAnsi="Titillium Web" w:cs="Arial"/>
        </w:rPr>
        <w:t>Gobierno corporativo (si se tiene)</w:t>
      </w:r>
    </w:p>
    <w:p w14:paraId="6F3516DC" w14:textId="50B235C9" w:rsidR="0055370A" w:rsidRPr="00C156C2" w:rsidRDefault="0055370A" w:rsidP="00C156C2">
      <w:pPr>
        <w:keepNext/>
        <w:keepLines/>
        <w:widowControl/>
        <w:autoSpaceDE/>
        <w:autoSpaceDN/>
        <w:spacing w:line="259" w:lineRule="auto"/>
        <w:contextualSpacing/>
        <w:outlineLvl w:val="0"/>
        <w:rPr>
          <w:rFonts w:ascii="Titillium Web" w:eastAsia="MS Gothic" w:hAnsi="Titillium Web" w:cs="Arial"/>
          <w:b/>
          <w:bCs/>
        </w:rPr>
      </w:pPr>
      <w:r w:rsidRPr="00C156C2">
        <w:rPr>
          <w:rFonts w:ascii="Titillium Web" w:eastAsia="MS Gothic" w:hAnsi="Titillium Web" w:cs="Arial"/>
          <w:b/>
          <w:bCs/>
        </w:rPr>
        <w:t xml:space="preserve">7. Plan </w:t>
      </w:r>
      <w:r w:rsidR="00713519">
        <w:rPr>
          <w:rFonts w:ascii="Titillium Web" w:eastAsia="MS Gothic" w:hAnsi="Titillium Web" w:cs="Arial"/>
          <w:b/>
          <w:bCs/>
        </w:rPr>
        <w:t>f</w:t>
      </w:r>
      <w:r w:rsidRPr="00C156C2">
        <w:rPr>
          <w:rFonts w:ascii="Titillium Web" w:eastAsia="MS Gothic" w:hAnsi="Titillium Web" w:cs="Arial"/>
          <w:b/>
          <w:bCs/>
        </w:rPr>
        <w:t>inanciero</w:t>
      </w:r>
    </w:p>
    <w:p w14:paraId="62BAE38A" w14:textId="4B0DE0AA" w:rsidR="0055370A" w:rsidRPr="005545A0" w:rsidRDefault="0055370A" w:rsidP="005545A0">
      <w:pPr>
        <w:pStyle w:val="Prrafodelista"/>
        <w:widowControl/>
        <w:numPr>
          <w:ilvl w:val="0"/>
          <w:numId w:val="13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5545A0">
        <w:rPr>
          <w:rFonts w:ascii="Titillium Web" w:eastAsia="MS Mincho" w:hAnsi="Titillium Web" w:cs="Arial"/>
        </w:rPr>
        <w:t>Inversión inicial estimada, propia y financiada</w:t>
      </w:r>
    </w:p>
    <w:p w14:paraId="36B81B72" w14:textId="6E70A788" w:rsidR="0055370A" w:rsidRPr="005545A0" w:rsidRDefault="0055370A" w:rsidP="005545A0">
      <w:pPr>
        <w:pStyle w:val="Prrafodelista"/>
        <w:widowControl/>
        <w:numPr>
          <w:ilvl w:val="0"/>
          <w:numId w:val="13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5545A0">
        <w:rPr>
          <w:rFonts w:ascii="Titillium Web" w:eastAsia="MS Mincho" w:hAnsi="Titillium Web" w:cs="Arial"/>
        </w:rPr>
        <w:t>Costos principales (fijos y variables)</w:t>
      </w:r>
    </w:p>
    <w:p w14:paraId="5001B6FC" w14:textId="67F19FB0" w:rsidR="0055370A" w:rsidRPr="005545A0" w:rsidRDefault="0055370A" w:rsidP="005545A0">
      <w:pPr>
        <w:pStyle w:val="Prrafodelista"/>
        <w:widowControl/>
        <w:numPr>
          <w:ilvl w:val="0"/>
          <w:numId w:val="13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5545A0">
        <w:rPr>
          <w:rFonts w:ascii="Titillium Web" w:eastAsia="MS Mincho" w:hAnsi="Titillium Web" w:cs="Arial"/>
        </w:rPr>
        <w:t>Estimado de ingresos en el primer año</w:t>
      </w:r>
    </w:p>
    <w:p w14:paraId="6CD5C1D4" w14:textId="77777777" w:rsidR="0055370A" w:rsidRPr="005545A0" w:rsidRDefault="0055370A" w:rsidP="005545A0">
      <w:pPr>
        <w:pStyle w:val="Prrafodelista"/>
        <w:widowControl/>
        <w:numPr>
          <w:ilvl w:val="0"/>
          <w:numId w:val="13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5545A0">
        <w:rPr>
          <w:rFonts w:ascii="Titillium Web" w:eastAsia="MS Mincho" w:hAnsi="Titillium Web" w:cs="Arial"/>
        </w:rPr>
        <w:t>Punto de equilibrio esperado (incluir fecha estimada)</w:t>
      </w:r>
    </w:p>
    <w:p w14:paraId="5F79CB83" w14:textId="15E5A5BE" w:rsidR="0055370A" w:rsidRPr="005545A0" w:rsidRDefault="0055370A" w:rsidP="005545A0">
      <w:pPr>
        <w:pStyle w:val="Prrafodelista"/>
        <w:widowControl/>
        <w:numPr>
          <w:ilvl w:val="0"/>
          <w:numId w:val="13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5545A0">
        <w:rPr>
          <w:rFonts w:ascii="Titillium Web" w:eastAsia="MS Mincho" w:hAnsi="Titillium Web" w:cs="Arial"/>
        </w:rPr>
        <w:t>Proyecciones (al menos un año) y escenarios (optimista</w:t>
      </w:r>
      <w:r w:rsidR="00685635">
        <w:rPr>
          <w:rFonts w:ascii="Titillium Web" w:eastAsia="MS Mincho" w:hAnsi="Titillium Web" w:cs="Arial"/>
        </w:rPr>
        <w:t>s</w:t>
      </w:r>
      <w:r w:rsidRPr="005545A0">
        <w:rPr>
          <w:rFonts w:ascii="Titillium Web" w:eastAsia="MS Mincho" w:hAnsi="Titillium Web" w:cs="Arial"/>
        </w:rPr>
        <w:t>, realista</w:t>
      </w:r>
      <w:r w:rsidR="00685635">
        <w:rPr>
          <w:rFonts w:ascii="Titillium Web" w:eastAsia="MS Mincho" w:hAnsi="Titillium Web" w:cs="Arial"/>
        </w:rPr>
        <w:t>s</w:t>
      </w:r>
      <w:r w:rsidRPr="005545A0">
        <w:rPr>
          <w:rFonts w:ascii="Titillium Web" w:eastAsia="MS Mincho" w:hAnsi="Titillium Web" w:cs="Arial"/>
        </w:rPr>
        <w:t>, pesimista</w:t>
      </w:r>
      <w:r w:rsidR="00685635">
        <w:rPr>
          <w:rFonts w:ascii="Titillium Web" w:eastAsia="MS Mincho" w:hAnsi="Titillium Web" w:cs="Arial"/>
        </w:rPr>
        <w:t>s</w:t>
      </w:r>
      <w:r w:rsidRPr="005545A0">
        <w:rPr>
          <w:rFonts w:ascii="Titillium Web" w:eastAsia="MS Mincho" w:hAnsi="Titillium Web" w:cs="Arial"/>
        </w:rPr>
        <w:t>)</w:t>
      </w:r>
    </w:p>
    <w:p w14:paraId="409FFF28" w14:textId="5BCFC6DF" w:rsidR="0055370A" w:rsidRPr="00713519" w:rsidRDefault="0055370A" w:rsidP="00C156C2">
      <w:pPr>
        <w:pStyle w:val="Prrafodelista"/>
        <w:widowControl/>
        <w:numPr>
          <w:ilvl w:val="0"/>
          <w:numId w:val="13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5545A0">
        <w:rPr>
          <w:rFonts w:ascii="Titillium Web" w:eastAsia="MS Mincho" w:hAnsi="Titillium Web" w:cs="Arial"/>
        </w:rPr>
        <w:t>Si el negocio está en marcha:</w:t>
      </w:r>
      <w:r w:rsidR="005545A0">
        <w:rPr>
          <w:rFonts w:ascii="Titillium Web" w:eastAsia="MS Mincho" w:hAnsi="Titillium Web" w:cs="Arial"/>
        </w:rPr>
        <w:t xml:space="preserve"> </w:t>
      </w:r>
      <w:r w:rsidR="00713519">
        <w:rPr>
          <w:rFonts w:ascii="Titillium Web" w:eastAsia="MS Mincho" w:hAnsi="Titillium Web" w:cs="Arial"/>
        </w:rPr>
        <w:t>ú</w:t>
      </w:r>
      <w:r w:rsidR="00713519" w:rsidRPr="005545A0">
        <w:rPr>
          <w:rFonts w:ascii="Titillium Web" w:eastAsia="MS Mincho" w:hAnsi="Titillium Web" w:cs="Arial"/>
        </w:rPr>
        <w:t>ltimo</w:t>
      </w:r>
      <w:r w:rsidRPr="005545A0">
        <w:rPr>
          <w:rFonts w:ascii="Titillium Web" w:eastAsia="MS Mincho" w:hAnsi="Titillium Web" w:cs="Arial"/>
        </w:rPr>
        <w:t xml:space="preserve"> balance general y estado de resultados (2025)</w:t>
      </w:r>
    </w:p>
    <w:p w14:paraId="22FB2DF9" w14:textId="77777777" w:rsidR="0055370A" w:rsidRPr="00C156C2" w:rsidRDefault="0055370A" w:rsidP="00C156C2">
      <w:pPr>
        <w:keepNext/>
        <w:keepLines/>
        <w:widowControl/>
        <w:autoSpaceDE/>
        <w:autoSpaceDN/>
        <w:spacing w:line="259" w:lineRule="auto"/>
        <w:contextualSpacing/>
        <w:outlineLvl w:val="0"/>
        <w:rPr>
          <w:rFonts w:ascii="Titillium Web" w:eastAsia="MS Gothic" w:hAnsi="Titillium Web" w:cs="Arial"/>
          <w:b/>
          <w:bCs/>
        </w:rPr>
      </w:pPr>
      <w:r w:rsidRPr="00C156C2">
        <w:rPr>
          <w:rFonts w:ascii="Titillium Web" w:eastAsia="MS Gothic" w:hAnsi="Titillium Web" w:cs="Arial"/>
          <w:b/>
          <w:bCs/>
        </w:rPr>
        <w:t>8. Resumen de riesgos y retos clave</w:t>
      </w:r>
    </w:p>
    <w:p w14:paraId="191F7942" w14:textId="77777777" w:rsidR="0055370A" w:rsidRPr="00713519" w:rsidRDefault="0055370A" w:rsidP="00713519">
      <w:pPr>
        <w:pStyle w:val="Prrafodelista"/>
        <w:widowControl/>
        <w:numPr>
          <w:ilvl w:val="0"/>
          <w:numId w:val="14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713519">
        <w:rPr>
          <w:rFonts w:ascii="Titillium Web" w:eastAsia="MS Mincho" w:hAnsi="Titillium Web" w:cs="Arial"/>
        </w:rPr>
        <w:t>Análisis FODA</w:t>
      </w:r>
    </w:p>
    <w:p w14:paraId="677B9D9C" w14:textId="4AA9C5E7" w:rsidR="0055370A" w:rsidRPr="00713519" w:rsidRDefault="0055370A" w:rsidP="00713519">
      <w:pPr>
        <w:pStyle w:val="Prrafodelista"/>
        <w:widowControl/>
        <w:numPr>
          <w:ilvl w:val="0"/>
          <w:numId w:val="14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713519">
        <w:rPr>
          <w:rFonts w:ascii="Titillium Web" w:eastAsia="MS Mincho" w:hAnsi="Titillium Web" w:cs="Arial"/>
        </w:rPr>
        <w:t>Riesgos clave (internos: operativos, financieros, de gestión, etc.; externos: mercado, regulatorios, tecnológicos, etc.)</w:t>
      </w:r>
    </w:p>
    <w:p w14:paraId="22E4666F" w14:textId="58A8C335" w:rsidR="0055370A" w:rsidRPr="00713519" w:rsidRDefault="0055370A" w:rsidP="00713519">
      <w:pPr>
        <w:pStyle w:val="Prrafodelista"/>
        <w:widowControl/>
        <w:numPr>
          <w:ilvl w:val="0"/>
          <w:numId w:val="14"/>
        </w:numPr>
        <w:tabs>
          <w:tab w:val="num" w:pos="360"/>
        </w:tabs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713519">
        <w:rPr>
          <w:rFonts w:ascii="Titillium Web" w:eastAsia="MS Mincho" w:hAnsi="Titillium Web" w:cs="Arial"/>
        </w:rPr>
        <w:t>Estrategias de mitigación de riesgos clave</w:t>
      </w:r>
    </w:p>
    <w:p w14:paraId="001030EB" w14:textId="3B184ECB" w:rsidR="0055370A" w:rsidRPr="00C156C2" w:rsidRDefault="0055370A" w:rsidP="00C156C2">
      <w:pPr>
        <w:keepNext/>
        <w:keepLines/>
        <w:widowControl/>
        <w:autoSpaceDE/>
        <w:autoSpaceDN/>
        <w:spacing w:line="259" w:lineRule="auto"/>
        <w:contextualSpacing/>
        <w:outlineLvl w:val="0"/>
        <w:rPr>
          <w:rFonts w:ascii="Titillium Web" w:eastAsia="MS Gothic" w:hAnsi="Titillium Web" w:cs="Arial"/>
          <w:b/>
          <w:bCs/>
        </w:rPr>
      </w:pPr>
      <w:r w:rsidRPr="00C156C2">
        <w:rPr>
          <w:rFonts w:ascii="Titillium Web" w:eastAsia="MS Gothic" w:hAnsi="Titillium Web" w:cs="Arial"/>
          <w:b/>
          <w:bCs/>
        </w:rPr>
        <w:t xml:space="preserve">9. Cronograma de </w:t>
      </w:r>
      <w:r w:rsidR="00713519">
        <w:rPr>
          <w:rFonts w:ascii="Titillium Web" w:eastAsia="MS Gothic" w:hAnsi="Titillium Web" w:cs="Arial"/>
          <w:b/>
          <w:bCs/>
        </w:rPr>
        <w:t>h</w:t>
      </w:r>
      <w:r w:rsidRPr="00C156C2">
        <w:rPr>
          <w:rFonts w:ascii="Titillium Web" w:eastAsia="MS Gothic" w:hAnsi="Titillium Web" w:cs="Arial"/>
          <w:b/>
          <w:bCs/>
        </w:rPr>
        <w:t>itos</w:t>
      </w:r>
    </w:p>
    <w:p w14:paraId="0831584E" w14:textId="3442CB1E" w:rsidR="0055370A" w:rsidRPr="005B399F" w:rsidRDefault="0055370A" w:rsidP="005B399F">
      <w:pPr>
        <w:pStyle w:val="Prrafodelista"/>
        <w:widowControl/>
        <w:numPr>
          <w:ilvl w:val="0"/>
          <w:numId w:val="17"/>
        </w:numPr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5B399F">
        <w:rPr>
          <w:rFonts w:ascii="Titillium Web" w:eastAsia="MS Mincho" w:hAnsi="Titillium Web" w:cs="Arial"/>
        </w:rPr>
        <w:t>Lanzamiento del producto/servicio</w:t>
      </w:r>
    </w:p>
    <w:p w14:paraId="68154CE6" w14:textId="6F2D3478" w:rsidR="0055370A" w:rsidRPr="005B399F" w:rsidRDefault="0055370A" w:rsidP="005B399F">
      <w:pPr>
        <w:pStyle w:val="Prrafodelista"/>
        <w:widowControl/>
        <w:numPr>
          <w:ilvl w:val="0"/>
          <w:numId w:val="17"/>
        </w:numPr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5B399F">
        <w:rPr>
          <w:rFonts w:ascii="Titillium Web" w:eastAsia="MS Mincho" w:hAnsi="Titillium Web" w:cs="Arial"/>
        </w:rPr>
        <w:t>Primeras ventas</w:t>
      </w:r>
    </w:p>
    <w:p w14:paraId="143413A1" w14:textId="77777777" w:rsidR="0055370A" w:rsidRPr="005B399F" w:rsidRDefault="0055370A" w:rsidP="005B399F">
      <w:pPr>
        <w:pStyle w:val="Prrafodelista"/>
        <w:widowControl/>
        <w:numPr>
          <w:ilvl w:val="0"/>
          <w:numId w:val="17"/>
        </w:numPr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5B399F">
        <w:rPr>
          <w:rFonts w:ascii="Titillium Web" w:eastAsia="MS Mincho" w:hAnsi="Titillium Web" w:cs="Arial"/>
        </w:rPr>
        <w:t>Punto de equilibrio</w:t>
      </w:r>
    </w:p>
    <w:p w14:paraId="2CE1C35C" w14:textId="01770A8E" w:rsidR="0055370A" w:rsidRPr="005B399F" w:rsidRDefault="0055370A" w:rsidP="005B399F">
      <w:pPr>
        <w:pStyle w:val="Prrafodelista"/>
        <w:widowControl/>
        <w:numPr>
          <w:ilvl w:val="0"/>
          <w:numId w:val="17"/>
        </w:numPr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5B399F">
        <w:rPr>
          <w:rFonts w:ascii="Titillium Web" w:eastAsia="MS Mincho" w:hAnsi="Titillium Web" w:cs="Arial"/>
        </w:rPr>
        <w:t>Expansión o mejora de operaciones</w:t>
      </w:r>
    </w:p>
    <w:p w14:paraId="71421AC2" w14:textId="4EDC9618" w:rsidR="00797ADD" w:rsidRPr="005B399F" w:rsidRDefault="0055370A" w:rsidP="005B399F">
      <w:pPr>
        <w:pStyle w:val="Prrafodelista"/>
        <w:widowControl/>
        <w:numPr>
          <w:ilvl w:val="0"/>
          <w:numId w:val="17"/>
        </w:numPr>
        <w:autoSpaceDE/>
        <w:autoSpaceDN/>
        <w:spacing w:after="200" w:line="259" w:lineRule="auto"/>
        <w:rPr>
          <w:rFonts w:ascii="Titillium Web" w:eastAsia="MS Mincho" w:hAnsi="Titillium Web" w:cs="Arial"/>
        </w:rPr>
      </w:pPr>
      <w:r w:rsidRPr="005B399F">
        <w:rPr>
          <w:rFonts w:ascii="Titillium Web" w:eastAsia="MS Mincho" w:hAnsi="Titillium Web" w:cs="Arial"/>
        </w:rPr>
        <w:t>Cronograma de inversiones</w:t>
      </w:r>
    </w:p>
    <w:sectPr w:rsidR="00797ADD" w:rsidRPr="005B399F" w:rsidSect="0055370A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127" w:right="849" w:bottom="1560" w:left="1701" w:header="708" w:footer="3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C663F2" w14:textId="77777777" w:rsidR="00146579" w:rsidRDefault="00146579" w:rsidP="005F7E16">
      <w:r>
        <w:separator/>
      </w:r>
    </w:p>
  </w:endnote>
  <w:endnote w:type="continuationSeparator" w:id="0">
    <w:p w14:paraId="518803F7" w14:textId="77777777" w:rsidR="00146579" w:rsidRDefault="00146579" w:rsidP="005F7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tillium Web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A2981" w14:textId="2E5B8845" w:rsidR="005F7E16" w:rsidRDefault="005F7E16" w:rsidP="005F7E16">
    <w:pPr>
      <w:pStyle w:val="Piedepgina"/>
      <w:tabs>
        <w:tab w:val="clear" w:pos="4252"/>
        <w:tab w:val="clear" w:pos="8504"/>
        <w:tab w:val="center" w:pos="7230"/>
      </w:tabs>
      <w:ind w:left="-1701"/>
    </w:pPr>
    <w:r w:rsidRPr="005F7E16">
      <w:rPr>
        <w:noProof/>
      </w:rPr>
      <w:drawing>
        <wp:inline distT="0" distB="0" distL="0" distR="0" wp14:anchorId="1F08D174" wp14:editId="30580BC2">
          <wp:extent cx="7584159" cy="93221"/>
          <wp:effectExtent l="0" t="0" r="0" b="0"/>
          <wp:docPr id="2008410886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01973" cy="141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7D807" w14:textId="66E6210D" w:rsidR="005F7E16" w:rsidRDefault="0055370A" w:rsidP="005F7E16">
    <w:pPr>
      <w:pStyle w:val="Piedepgina"/>
      <w:ind w:hanging="851"/>
    </w:pPr>
    <w:r w:rsidRPr="005F7E16">
      <w:rPr>
        <w:rFonts w:ascii="Titillium Web" w:hAnsi="Titillium Web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5C6F8EFC" wp14:editId="0BB3D325">
          <wp:simplePos x="0" y="0"/>
          <wp:positionH relativeFrom="column">
            <wp:posOffset>2977515</wp:posOffset>
          </wp:positionH>
          <wp:positionV relativeFrom="paragraph">
            <wp:posOffset>187960</wp:posOffset>
          </wp:positionV>
          <wp:extent cx="3276600" cy="366395"/>
          <wp:effectExtent l="0" t="0" r="0" b="0"/>
          <wp:wrapThrough wrapText="bothSides">
            <wp:wrapPolygon edited="0">
              <wp:start x="7284" y="0"/>
              <wp:lineTo x="0" y="1123"/>
              <wp:lineTo x="0" y="13477"/>
              <wp:lineTo x="11805" y="17969"/>
              <wp:lineTo x="11805" y="19092"/>
              <wp:lineTo x="13688" y="20215"/>
              <wp:lineTo x="20595" y="20215"/>
              <wp:lineTo x="21474" y="19092"/>
              <wp:lineTo x="21474" y="1123"/>
              <wp:lineTo x="21223" y="0"/>
              <wp:lineTo x="18712" y="0"/>
              <wp:lineTo x="7284" y="0"/>
            </wp:wrapPolygon>
          </wp:wrapThrough>
          <wp:docPr id="79216319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267313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76600" cy="366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F7E16" w:rsidRPr="005F7E16">
      <w:rPr>
        <w:noProof/>
      </w:rPr>
      <w:drawing>
        <wp:inline distT="0" distB="0" distL="0" distR="0" wp14:anchorId="2C88F16D" wp14:editId="1CA2A6B6">
          <wp:extent cx="604520" cy="604520"/>
          <wp:effectExtent l="0" t="0" r="0" b="0"/>
          <wp:docPr id="1816160503" name="Imagen 1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771967" name="Imagen 1" descr="Logotipo&#10;&#10;El contenido generado por IA puede ser incorrecto.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226" cy="6272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F7E16">
      <w:rPr>
        <w:rFonts w:ascii="Titillium Web" w:hAnsi="Titillium Web"/>
        <w:noProof/>
        <w:sz w:val="18"/>
        <w:szCs w:val="18"/>
      </w:rPr>
      <w:drawing>
        <wp:inline distT="0" distB="0" distL="0" distR="0" wp14:anchorId="26E24BDE" wp14:editId="52853C85">
          <wp:extent cx="952500" cy="473399"/>
          <wp:effectExtent l="0" t="0" r="0" b="0"/>
          <wp:docPr id="4432761" name="Imagen 5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7037974" name="Imagen 5" descr="Logotipo&#10;&#10;El contenido generado por IA puede ser incorrecto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7664" cy="500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F7E16">
      <w:t xml:space="preserve">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1BCBB3" w14:textId="77777777" w:rsidR="00146579" w:rsidRDefault="00146579" w:rsidP="005F7E16">
      <w:r>
        <w:separator/>
      </w:r>
    </w:p>
  </w:footnote>
  <w:footnote w:type="continuationSeparator" w:id="0">
    <w:p w14:paraId="189008DE" w14:textId="77777777" w:rsidR="00146579" w:rsidRDefault="00146579" w:rsidP="005F7E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BA84F" w14:textId="77777777" w:rsidR="005F7E16" w:rsidRDefault="005F7E16" w:rsidP="005F7E16">
    <w:pPr>
      <w:pStyle w:val="Encabezado"/>
      <w:ind w:left="8496"/>
    </w:pPr>
    <w:r>
      <w:rPr>
        <w:noProof/>
      </w:rPr>
      <w:drawing>
        <wp:inline distT="0" distB="0" distL="0" distR="0" wp14:anchorId="6891FE6A" wp14:editId="43DA0BF0">
          <wp:extent cx="645496" cy="635000"/>
          <wp:effectExtent l="0" t="0" r="0" b="0"/>
          <wp:docPr id="1535582385" name="Imagen 8" descr="Imagen que contiene alimentos, luz, dibuj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0065753" name="Imagen 8" descr="Imagen que contiene alimentos, luz, dibuj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6465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631F0C" w14:textId="198CD79E" w:rsidR="005F7E16" w:rsidRDefault="00EB5AB6" w:rsidP="005F7E16">
    <w:pPr>
      <w:pStyle w:val="Encabezado"/>
      <w:ind w:left="-851"/>
    </w:pPr>
    <w:r>
      <w:rPr>
        <w:noProof/>
      </w:rPr>
      <w:drawing>
        <wp:inline distT="0" distB="0" distL="0" distR="0" wp14:anchorId="4B389739" wp14:editId="1DAAB2AB">
          <wp:extent cx="3461775" cy="553884"/>
          <wp:effectExtent l="0" t="0" r="0" b="5080"/>
          <wp:docPr id="1644890455" name="Imagen 1" descr="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2827701" name="Imagen 1" descr="Form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0955" cy="5665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62E17"/>
    <w:multiLevelType w:val="hybridMultilevel"/>
    <w:tmpl w:val="D15065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149A7"/>
    <w:multiLevelType w:val="hybridMultilevel"/>
    <w:tmpl w:val="399A20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B675A"/>
    <w:multiLevelType w:val="hybridMultilevel"/>
    <w:tmpl w:val="61963EEC"/>
    <w:lvl w:ilvl="0" w:tplc="AA6698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A17291"/>
    <w:multiLevelType w:val="hybridMultilevel"/>
    <w:tmpl w:val="FDF2F3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27C2CDB"/>
    <w:multiLevelType w:val="hybridMultilevel"/>
    <w:tmpl w:val="284C51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1B731C"/>
    <w:multiLevelType w:val="hybridMultilevel"/>
    <w:tmpl w:val="90EC11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145A1D"/>
    <w:multiLevelType w:val="hybridMultilevel"/>
    <w:tmpl w:val="BC2445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403D64"/>
    <w:multiLevelType w:val="hybridMultilevel"/>
    <w:tmpl w:val="C4E647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4573FD"/>
    <w:multiLevelType w:val="hybridMultilevel"/>
    <w:tmpl w:val="FAFC1E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713DB7"/>
    <w:multiLevelType w:val="hybridMultilevel"/>
    <w:tmpl w:val="CD3890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8343F2"/>
    <w:multiLevelType w:val="hybridMultilevel"/>
    <w:tmpl w:val="4536A02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BC592F"/>
    <w:multiLevelType w:val="hybridMultilevel"/>
    <w:tmpl w:val="3C7007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C654D9"/>
    <w:multiLevelType w:val="hybridMultilevel"/>
    <w:tmpl w:val="58F65AB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3C3DAC"/>
    <w:multiLevelType w:val="hybridMultilevel"/>
    <w:tmpl w:val="782E10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7D596F"/>
    <w:multiLevelType w:val="hybridMultilevel"/>
    <w:tmpl w:val="80E694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251A86"/>
    <w:multiLevelType w:val="hybridMultilevel"/>
    <w:tmpl w:val="9CBC4D8E"/>
    <w:lvl w:ilvl="0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EE432A0"/>
    <w:multiLevelType w:val="multilevel"/>
    <w:tmpl w:val="A36AB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3837838">
    <w:abstractNumId w:val="3"/>
  </w:num>
  <w:num w:numId="2" w16cid:durableId="1009910822">
    <w:abstractNumId w:val="16"/>
  </w:num>
  <w:num w:numId="3" w16cid:durableId="884297262">
    <w:abstractNumId w:val="2"/>
  </w:num>
  <w:num w:numId="4" w16cid:durableId="952056638">
    <w:abstractNumId w:val="11"/>
  </w:num>
  <w:num w:numId="5" w16cid:durableId="1077089581">
    <w:abstractNumId w:val="4"/>
  </w:num>
  <w:num w:numId="6" w16cid:durableId="1348362909">
    <w:abstractNumId w:val="13"/>
  </w:num>
  <w:num w:numId="7" w16cid:durableId="483548780">
    <w:abstractNumId w:val="6"/>
  </w:num>
  <w:num w:numId="8" w16cid:durableId="743138902">
    <w:abstractNumId w:val="9"/>
  </w:num>
  <w:num w:numId="9" w16cid:durableId="1296259060">
    <w:abstractNumId w:val="0"/>
  </w:num>
  <w:num w:numId="10" w16cid:durableId="1111584912">
    <w:abstractNumId w:val="5"/>
  </w:num>
  <w:num w:numId="11" w16cid:durableId="1359505342">
    <w:abstractNumId w:val="10"/>
  </w:num>
  <w:num w:numId="12" w16cid:durableId="1453130139">
    <w:abstractNumId w:val="7"/>
  </w:num>
  <w:num w:numId="13" w16cid:durableId="490869882">
    <w:abstractNumId w:val="8"/>
  </w:num>
  <w:num w:numId="14" w16cid:durableId="1752462603">
    <w:abstractNumId w:val="14"/>
  </w:num>
  <w:num w:numId="15" w16cid:durableId="1488864324">
    <w:abstractNumId w:val="12"/>
  </w:num>
  <w:num w:numId="16" w16cid:durableId="629945463">
    <w:abstractNumId w:val="15"/>
  </w:num>
  <w:num w:numId="17" w16cid:durableId="14822371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9E8"/>
    <w:rsid w:val="0001681B"/>
    <w:rsid w:val="000C0A1C"/>
    <w:rsid w:val="000E4B25"/>
    <w:rsid w:val="00107983"/>
    <w:rsid w:val="00146579"/>
    <w:rsid w:val="002B490A"/>
    <w:rsid w:val="00346BDA"/>
    <w:rsid w:val="003D3199"/>
    <w:rsid w:val="00515D3D"/>
    <w:rsid w:val="0055370A"/>
    <w:rsid w:val="005545A0"/>
    <w:rsid w:val="005B399F"/>
    <w:rsid w:val="005F7E16"/>
    <w:rsid w:val="00685635"/>
    <w:rsid w:val="00713519"/>
    <w:rsid w:val="00764FFA"/>
    <w:rsid w:val="00796759"/>
    <w:rsid w:val="00797ADD"/>
    <w:rsid w:val="007B5E26"/>
    <w:rsid w:val="008137D1"/>
    <w:rsid w:val="008A7911"/>
    <w:rsid w:val="008F39E8"/>
    <w:rsid w:val="00966E86"/>
    <w:rsid w:val="009B1CC3"/>
    <w:rsid w:val="00A6659B"/>
    <w:rsid w:val="00B17BEA"/>
    <w:rsid w:val="00B952E9"/>
    <w:rsid w:val="00B95E90"/>
    <w:rsid w:val="00BF6D32"/>
    <w:rsid w:val="00C156C2"/>
    <w:rsid w:val="00CC0DFD"/>
    <w:rsid w:val="00D46274"/>
    <w:rsid w:val="00EB1FA9"/>
    <w:rsid w:val="00EB5AB6"/>
    <w:rsid w:val="00F5597F"/>
    <w:rsid w:val="00FD7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980C263"/>
  <w15:chartTrackingRefBased/>
  <w15:docId w15:val="{973932BB-1A66-F740-8B61-8931EC3E0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7ADD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kern w:val="0"/>
      <w:sz w:val="22"/>
      <w:szCs w:val="22"/>
      <w:lang w:val="es-MX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5F7E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F7E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F7E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F7E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F7E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F7E1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F7E1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F7E1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F7E1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F7E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5F7E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F7E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F7E1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F7E1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F7E1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F7E1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F7E1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F7E1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F7E1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F7E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F7E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F7E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F7E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F7E1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1"/>
    <w:qFormat/>
    <w:rsid w:val="005F7E1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F7E1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F7E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F7E1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F7E16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5F7E1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F7E16"/>
  </w:style>
  <w:style w:type="paragraph" w:styleId="Piedepgina">
    <w:name w:val="footer"/>
    <w:basedOn w:val="Normal"/>
    <w:link w:val="PiedepginaCar"/>
    <w:uiPriority w:val="99"/>
    <w:unhideWhenUsed/>
    <w:rsid w:val="005F7E1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F7E16"/>
  </w:style>
  <w:style w:type="paragraph" w:styleId="NormalWeb">
    <w:name w:val="Normal (Web)"/>
    <w:basedOn w:val="Normal"/>
    <w:uiPriority w:val="99"/>
    <w:unhideWhenUsed/>
    <w:rsid w:val="008F39E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paragraph" w:styleId="Textoindependiente">
    <w:name w:val="Body Text"/>
    <w:basedOn w:val="Normal"/>
    <w:link w:val="TextoindependienteCar"/>
    <w:uiPriority w:val="1"/>
    <w:qFormat/>
    <w:rsid w:val="00797ADD"/>
    <w:rPr>
      <w:sz w:val="13"/>
      <w:szCs w:val="13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97ADD"/>
    <w:rPr>
      <w:rFonts w:ascii="Verdana" w:eastAsia="Verdana" w:hAnsi="Verdana" w:cs="Verdana"/>
      <w:kern w:val="0"/>
      <w:sz w:val="13"/>
      <w:szCs w:val="13"/>
      <w14:ligatures w14:val="none"/>
    </w:rPr>
  </w:style>
  <w:style w:type="character" w:styleId="Hipervnculo">
    <w:name w:val="Hyperlink"/>
    <w:basedOn w:val="Fuentedeprrafopredeter"/>
    <w:uiPriority w:val="99"/>
    <w:unhideWhenUsed/>
    <w:rsid w:val="00797ADD"/>
    <w:rPr>
      <w:color w:val="467886" w:themeColor="hyperlink"/>
      <w:u w:val="single"/>
    </w:rPr>
  </w:style>
  <w:style w:type="paragraph" w:styleId="Revisin">
    <w:name w:val="Revision"/>
    <w:hidden/>
    <w:uiPriority w:val="99"/>
    <w:semiHidden/>
    <w:rsid w:val="003D3199"/>
    <w:pPr>
      <w:spacing w:after="0" w:line="240" w:lineRule="auto"/>
    </w:pPr>
    <w:rPr>
      <w:rFonts w:ascii="Verdana" w:eastAsia="Verdana" w:hAnsi="Verdana" w:cs="Verdana"/>
      <w:kern w:val="0"/>
      <w:sz w:val="22"/>
      <w:szCs w:val="22"/>
      <w:lang w:val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359</Words>
  <Characters>2142</Characters>
  <Application>Microsoft Office Word</Application>
  <DocSecurity>0</DocSecurity>
  <Lines>44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Diseño</dc:creator>
  <cp:keywords/>
  <dc:description/>
  <cp:lastModifiedBy>Aldo Plazola González</cp:lastModifiedBy>
  <cp:revision>16</cp:revision>
  <dcterms:created xsi:type="dcterms:W3CDTF">2025-09-19T17:54:00Z</dcterms:created>
  <dcterms:modified xsi:type="dcterms:W3CDTF">2025-09-24T15:13:00Z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58c5d919-1b15-4e55-b334-19f5630f7e3a</vt:lpwstr>
  </property>
</Properties>
</file>